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color w:val="auto"/>
          <w:sz w:val="44"/>
          <w:szCs w:val="44"/>
        </w:rPr>
      </w:pPr>
      <w:r>
        <w:rPr>
          <w:rFonts w:hint="default" w:ascii="Times New Roman" w:hAnsi="Times New Roman" w:eastAsia="方正小标宋简体" w:cs="Times New Roman"/>
          <w:color w:val="auto"/>
          <w:sz w:val="44"/>
          <w:szCs w:val="44"/>
          <w:lang w:eastAsia="zh-CN"/>
        </w:rPr>
        <w:t>株洲市芦淞区</w:t>
      </w:r>
      <w:r>
        <w:rPr>
          <w:rFonts w:hint="default" w:ascii="Times New Roman" w:hAnsi="Times New Roman" w:eastAsia="方正小标宋简体" w:cs="Times New Roman"/>
          <w:color w:val="auto"/>
          <w:sz w:val="44"/>
          <w:szCs w:val="44"/>
        </w:rPr>
        <w:t>涉企经营许可事项告知书</w:t>
      </w:r>
    </w:p>
    <w:p>
      <w:pPr>
        <w:widowControl/>
        <w:numPr>
          <w:ilvl w:val="0"/>
          <w:numId w:val="0"/>
        </w:numPr>
        <w:spacing w:line="600" w:lineRule="exact"/>
        <w:ind w:left="630" w:leftChars="0" w:right="0" w:rightChars="0"/>
        <w:jc w:val="left"/>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val="en-US" w:eastAsia="zh-CN"/>
        </w:rPr>
        <w:t xml:space="preserve"> 一、</w:t>
      </w:r>
      <w:r>
        <w:rPr>
          <w:rFonts w:hint="default" w:ascii="Times New Roman" w:hAnsi="Times New Roman" w:eastAsia="黑体" w:cs="Times New Roman"/>
          <w:color w:val="auto"/>
          <w:kern w:val="0"/>
          <w:sz w:val="32"/>
          <w:szCs w:val="32"/>
        </w:rPr>
        <w:t>许可事项名称及编码</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事项名称：中介机构从事代理记账业务审批</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事项编码：000113003000</w:t>
      </w:r>
    </w:p>
    <w:p>
      <w:pPr>
        <w:spacing w:line="600" w:lineRule="exact"/>
        <w:ind w:firstLine="640" w:firstLineChars="200"/>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二、许可事项告知部门</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株洲市芦淞区财政局</w:t>
      </w:r>
    </w:p>
    <w:p>
      <w:pPr>
        <w:widowControl/>
        <w:spacing w:line="600" w:lineRule="exact"/>
        <w:ind w:firstLine="630"/>
        <w:jc w:val="left"/>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三、准予许可的条件</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（一）本行政许可事项获得批准应当具备下列条件：</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设立的企业；2、专职从业人员不少于3名；3、主管代理记账业务的负责人具有会计师以上专业技术职务资格或者从事会计工作不少于3年，且为专职从业人员；4、有健全的代理记账业务内部规范，代理记账机构从业人员应当具有会计类专业基础知识和业务技能，能够独立处理基本会计业务，并由代理记账机构自主评价认定。本条件中所称专职从业人员是指仅在一个代理记账机构从事代理记账业务的人员。</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（二）应当提交的材料及期限：</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应交材料：1、统一信用代码证；2、主管代理记账业务的负责人具有会计师以上专业技术职务资格或者从事会计工作不少于3年的书面承诺；3、专职人员在本机构专职从业的书面承诺；4、代理记账业务内部规范；5、财政申报系统中下载的基本信息表。</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期限：申请人提交的申请资料不齐全或不符合规定形式的，应当在5日内补齐需提交资料。</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上述材料，申请人应当：</w:t>
      </w:r>
    </w:p>
    <w:p>
      <w:pPr>
        <w:spacing w:line="600" w:lineRule="exact"/>
        <w:ind w:firstLine="640" w:firstLineChars="200"/>
        <w:rPr>
          <w:rFonts w:hint="default" w:ascii="Times New Roman" w:hAnsi="Times New Roman" w:eastAsia="仿宋_GB2312" w:cs="Times New Roman"/>
          <w:color w:val="auto"/>
          <w:sz w:val="32"/>
          <w:szCs w:val="32"/>
        </w:rPr>
      </w:pPr>
      <w:r>
        <w:rPr>
          <w:rFonts w:hint="eastAsia" w:ascii="仿宋_GB2312" w:hAnsi="仿宋_GB2312" w:eastAsia="仿宋_GB2312" w:cs="仿宋_GB2312"/>
          <w:b w:val="0"/>
          <w:bCs w:val="0"/>
          <w:color w:val="auto"/>
          <w:kern w:val="2"/>
          <w:sz w:val="32"/>
          <w:szCs w:val="32"/>
          <w:lang w:val="en-US" w:eastAsia="zh-CN" w:bidi="ar-SA"/>
        </w:rPr>
        <w:t>□</w:t>
      </w:r>
      <w:bookmarkStart w:id="0" w:name="_GoBack"/>
      <w:bookmarkEnd w:id="0"/>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5</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个工作日内提交“应当提交的材料”中的第</w:t>
      </w:r>
      <w:r>
        <w:rPr>
          <w:rFonts w:hint="eastAsia" w:eastAsia="仿宋_GB2312" w:cs="Times New Roman"/>
          <w:color w:val="auto"/>
          <w:sz w:val="32"/>
          <w:szCs w:val="32"/>
          <w:u w:val="single"/>
          <w:lang w:val="en-US" w:eastAsia="zh-CN"/>
        </w:rPr>
        <w:t>1</w:t>
      </w:r>
      <w:r>
        <w:rPr>
          <w:rFonts w:hint="default" w:ascii="Times New Roman" w:hAnsi="Times New Roman" w:eastAsia="仿宋_GB2312" w:cs="Times New Roman"/>
          <w:color w:val="auto"/>
          <w:sz w:val="32"/>
          <w:szCs w:val="32"/>
        </w:rPr>
        <w:t>项、第</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2</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3</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4</w:t>
      </w:r>
      <w:r>
        <w:rPr>
          <w:rFonts w:hint="default" w:ascii="Times New Roman" w:hAnsi="Times New Roman" w:eastAsia="仿宋_GB2312" w:cs="Times New Roman"/>
          <w:color w:val="auto"/>
          <w:sz w:val="32"/>
          <w:szCs w:val="32"/>
        </w:rPr>
        <w:t>项。</w:t>
      </w:r>
    </w:p>
    <w:p>
      <w:pPr>
        <w:spacing w:line="600" w:lineRule="exact"/>
        <w:ind w:firstLine="640" w:firstLineChars="200"/>
        <w:rPr>
          <w:rFonts w:hint="default" w:ascii="Times New Roman" w:hAnsi="Times New Roman" w:eastAsia="仿宋_GB2312" w:cs="Times New Roman"/>
          <w:color w:val="auto"/>
          <w:sz w:val="32"/>
          <w:szCs w:val="32"/>
        </w:rPr>
      </w:pPr>
      <w:r>
        <w:rPr>
          <w:rFonts w:hint="eastAsia" w:ascii="仿宋_GB2312" w:hAnsi="仿宋_GB2312" w:eastAsia="仿宋_GB2312" w:cs="仿宋_GB2312"/>
          <w:b w:val="0"/>
          <w:bCs w:val="0"/>
          <w:color w:val="auto"/>
          <w:kern w:val="2"/>
          <w:sz w:val="32"/>
          <w:szCs w:val="32"/>
          <w:lang w:val="en-US" w:eastAsia="zh-CN" w:bidi="ar-SA"/>
        </w:rPr>
        <w:t>□</w:t>
      </w:r>
      <w:r>
        <w:rPr>
          <w:rFonts w:hint="default" w:ascii="Times New Roman" w:hAnsi="Times New Roman" w:eastAsia="仿宋_GB2312" w:cs="Times New Roman"/>
          <w:color w:val="auto"/>
          <w:sz w:val="32"/>
          <w:szCs w:val="32"/>
        </w:rPr>
        <w:t>在行政机关对申请人自愿承诺的内容是否属实进行检查时提交：上述“应当提交的材料”中的第</w:t>
      </w:r>
      <w:r>
        <w:rPr>
          <w:rFonts w:hint="eastAsia" w:eastAsia="仿宋_GB2312" w:cs="Times New Roman"/>
          <w:color w:val="auto"/>
          <w:sz w:val="32"/>
          <w:szCs w:val="32"/>
          <w:u w:val="single"/>
          <w:lang w:val="en-US" w:eastAsia="zh-CN"/>
        </w:rPr>
        <w:t>1</w:t>
      </w:r>
      <w:r>
        <w:rPr>
          <w:rFonts w:hint="default" w:ascii="Times New Roman" w:hAnsi="Times New Roman" w:eastAsia="仿宋_GB2312" w:cs="Times New Roman"/>
          <w:color w:val="auto"/>
          <w:sz w:val="32"/>
          <w:szCs w:val="32"/>
        </w:rPr>
        <w:t>项、第</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2</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3</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4</w:t>
      </w:r>
      <w:r>
        <w:rPr>
          <w:rFonts w:hint="default" w:ascii="Times New Roman" w:hAnsi="Times New Roman" w:eastAsia="仿宋_GB2312" w:cs="Times New Roman"/>
          <w:color w:val="auto"/>
          <w:sz w:val="32"/>
          <w:szCs w:val="32"/>
        </w:rPr>
        <w:t>项。</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代理记账机构应当于每年4月30日之前，向审批机关报送下列材料：1、代理记账机构基本情况表（附表）；2、专职从业人员变动情况。代理记账机构设立分支机构的，分支机构应当于每年4月30日之前向其所在地的审批机关报送上述材料。</w:t>
      </w:r>
    </w:p>
    <w:p>
      <w:pPr>
        <w:spacing w:line="600" w:lineRule="exact"/>
        <w:ind w:firstLine="640" w:firstLineChars="200"/>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四、承诺的效力</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申请人作出符合许可条件的承诺，并提交</w:t>
      </w:r>
      <w:r>
        <w:rPr>
          <w:rFonts w:hint="eastAsia" w:ascii="Times New Roman" w:hAnsi="Times New Roman" w:eastAsia="仿宋_GB2312" w:cs="Times New Roman"/>
          <w:color w:val="auto"/>
          <w:sz w:val="32"/>
          <w:szCs w:val="32"/>
          <w:lang w:val="en-US" w:eastAsia="zh-CN"/>
        </w:rPr>
        <w:t>签字盖</w:t>
      </w:r>
      <w:r>
        <w:rPr>
          <w:rFonts w:hint="default" w:ascii="Times New Roman" w:hAnsi="Times New Roman" w:eastAsia="仿宋_GB2312" w:cs="Times New Roman"/>
          <w:color w:val="auto"/>
          <w:sz w:val="32"/>
          <w:szCs w:val="32"/>
        </w:rPr>
        <w:t>章的承诺书后，行政机</w:t>
      </w:r>
      <w:r>
        <w:rPr>
          <w:rFonts w:hint="eastAsia" w:ascii="Times New Roman" w:hAnsi="Times New Roman" w:eastAsia="仿宋_GB2312" w:cs="Times New Roman"/>
          <w:color w:val="auto"/>
          <w:sz w:val="32"/>
          <w:szCs w:val="32"/>
          <w:lang w:val="en-US" w:eastAsia="zh-CN"/>
        </w:rPr>
        <w:t>关</w:t>
      </w:r>
      <w:r>
        <w:rPr>
          <w:rFonts w:hint="default" w:ascii="Times New Roman" w:hAnsi="Times New Roman" w:eastAsia="仿宋_GB2312" w:cs="Times New Roman"/>
          <w:color w:val="auto"/>
          <w:sz w:val="32"/>
          <w:szCs w:val="32"/>
        </w:rPr>
        <w:t>应当</w:t>
      </w:r>
      <w:r>
        <w:rPr>
          <w:rFonts w:hint="eastAsia" w:ascii="Times New Roman" w:hAnsi="Times New Roman" w:eastAsia="仿宋_GB2312" w:cs="Times New Roman"/>
          <w:color w:val="auto"/>
          <w:sz w:val="32"/>
          <w:szCs w:val="32"/>
          <w:lang w:val="en-US" w:eastAsia="zh-CN"/>
        </w:rPr>
        <w:t>当</w:t>
      </w:r>
      <w:r>
        <w:rPr>
          <w:rFonts w:hint="default" w:ascii="Times New Roman" w:hAnsi="Times New Roman" w:eastAsia="仿宋_GB2312" w:cs="Times New Roman"/>
          <w:color w:val="auto"/>
          <w:sz w:val="32"/>
          <w:szCs w:val="32"/>
        </w:rPr>
        <w:t>场作出行政许可决定。</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五、承诺的方式</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六、不实承诺的责任</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七、行政机关核查权力</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（一）</w:t>
      </w:r>
      <w:r>
        <w:rPr>
          <w:rFonts w:hint="default" w:ascii="Times New Roman" w:hAnsi="Times New Roman" w:eastAsia="仿宋_GB2312" w:cs="Times New Roman"/>
          <w:color w:val="auto"/>
          <w:kern w:val="2"/>
          <w:sz w:val="32"/>
          <w:szCs w:val="32"/>
          <w:lang w:val="en-US" w:eastAsia="zh-CN" w:bidi="ar-SA"/>
        </w:rPr>
        <w:t>县级以上人民政府财政部门对代理记账机构及其从事代理记账业务情况实施监督，随机抽取检查对象、随机选派执法检查人员，并将抽查情况及查处结果依法及时向社会公开。 对委托代理记账的企业因违反财税法律、法规受到处理处罚的，县级以上人民政府财政部门应当将其委托的代理记账机构列入重点检查对象。 对其他部门移交的代理记账违法行为线索，县级以上人民政府财政部门应当及时予以查处。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（二）</w:t>
      </w:r>
      <w:r>
        <w:rPr>
          <w:rFonts w:hint="default" w:ascii="Times New Roman" w:hAnsi="Times New Roman" w:eastAsia="仿宋_GB2312" w:cs="Times New Roman"/>
          <w:color w:val="auto"/>
          <w:kern w:val="2"/>
          <w:sz w:val="32"/>
          <w:szCs w:val="32"/>
          <w:lang w:val="en-US" w:eastAsia="zh-CN" w:bidi="ar-SA"/>
        </w:rPr>
        <w:t>公民、法人或者其他组织发现有违反本办法规定的代理记账行为，可以依法向县级以上人民政府财政部门进行举报，县级以上人民政府财政部门应当依法进行处理。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（三）</w:t>
      </w:r>
      <w:r>
        <w:rPr>
          <w:rFonts w:hint="default" w:ascii="Times New Roman" w:hAnsi="Times New Roman" w:eastAsia="仿宋_GB2312" w:cs="Times New Roman"/>
          <w:color w:val="auto"/>
          <w:kern w:val="2"/>
          <w:sz w:val="32"/>
          <w:szCs w:val="32"/>
          <w:lang w:val="en-US" w:eastAsia="zh-CN" w:bidi="ar-SA"/>
        </w:rPr>
        <w:t>代理记账机构采取欺骗、贿赂等不正当手段取得代理记账资格的，由审批机关撤销其资格，并对代理记账机构及其负责人给予警告，记入会计领域违法失信记录，根据有关规定实施联合惩戒，并向社会公告。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（四）</w:t>
      </w:r>
      <w:r>
        <w:rPr>
          <w:rFonts w:hint="default" w:ascii="Times New Roman" w:hAnsi="Times New Roman" w:eastAsia="仿宋_GB2312" w:cs="Times New Roman"/>
          <w:color w:val="auto"/>
          <w:kern w:val="2"/>
          <w:sz w:val="32"/>
          <w:szCs w:val="32"/>
          <w:lang w:val="en-US" w:eastAsia="zh-CN" w:bidi="ar-SA"/>
        </w:rPr>
        <w:t>代理记账机构在经营期间达不到本办法规定的资格条件的，审批机关发现后，应当责令其在60日内整改；逾期仍达不到规定条件的，由审批机关撤销其代理记账资格。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（五）</w:t>
      </w:r>
      <w:r>
        <w:rPr>
          <w:rFonts w:hint="default" w:ascii="Times New Roman" w:hAnsi="Times New Roman" w:eastAsia="仿宋_GB2312" w:cs="Times New Roman"/>
          <w:color w:val="auto"/>
          <w:kern w:val="2"/>
          <w:sz w:val="32"/>
          <w:szCs w:val="32"/>
          <w:lang w:val="en-US" w:eastAsia="zh-CN" w:bidi="ar-SA"/>
        </w:rPr>
        <w:t>代理记账机构有下列情形之一的，审批机关应当办理注销手续，收回代理记账许可证书并予以公告：</w:t>
      </w:r>
      <w:r>
        <w:rPr>
          <w:rFonts w:hint="eastAsia" w:ascii="Times New Roman" w:hAnsi="Times New Roman" w:eastAsia="仿宋_GB2312" w:cs="Times New Roman"/>
          <w:color w:val="auto"/>
          <w:kern w:val="2"/>
          <w:sz w:val="32"/>
          <w:szCs w:val="32"/>
          <w:lang w:val="en-US" w:eastAsia="zh-CN" w:bidi="ar-SA"/>
        </w:rPr>
        <w:t>1、</w:t>
      </w:r>
      <w:r>
        <w:rPr>
          <w:rFonts w:hint="default" w:ascii="Times New Roman" w:hAnsi="Times New Roman" w:eastAsia="仿宋_GB2312" w:cs="Times New Roman"/>
          <w:color w:val="auto"/>
          <w:kern w:val="2"/>
          <w:sz w:val="32"/>
          <w:szCs w:val="32"/>
          <w:lang w:val="en-US" w:eastAsia="zh-CN" w:bidi="ar-SA"/>
        </w:rPr>
        <w:t>代理记账机构依法终止的；</w:t>
      </w:r>
      <w:r>
        <w:rPr>
          <w:rFonts w:hint="eastAsia" w:ascii="Times New Roman" w:hAnsi="Times New Roman" w:eastAsia="仿宋_GB2312" w:cs="Times New Roman"/>
          <w:color w:val="auto"/>
          <w:kern w:val="2"/>
          <w:sz w:val="32"/>
          <w:szCs w:val="32"/>
          <w:lang w:val="en-US" w:eastAsia="zh-CN" w:bidi="ar-SA"/>
        </w:rPr>
        <w:t>2、</w:t>
      </w:r>
      <w:r>
        <w:rPr>
          <w:rFonts w:hint="default" w:ascii="Times New Roman" w:hAnsi="Times New Roman" w:eastAsia="仿宋_GB2312" w:cs="Times New Roman"/>
          <w:color w:val="auto"/>
          <w:kern w:val="2"/>
          <w:sz w:val="32"/>
          <w:szCs w:val="32"/>
          <w:lang w:val="en-US" w:eastAsia="zh-CN" w:bidi="ar-SA"/>
        </w:rPr>
        <w:t xml:space="preserve">代理记账资格被依法撤销或撤回的； </w:t>
      </w:r>
      <w:r>
        <w:rPr>
          <w:rFonts w:hint="eastAsia" w:ascii="Times New Roman" w:hAnsi="Times New Roman" w:eastAsia="仿宋_GB2312" w:cs="Times New Roman"/>
          <w:color w:val="auto"/>
          <w:kern w:val="2"/>
          <w:sz w:val="32"/>
          <w:szCs w:val="32"/>
          <w:lang w:val="en-US" w:eastAsia="zh-CN" w:bidi="ar-SA"/>
        </w:rPr>
        <w:t>3、</w:t>
      </w:r>
      <w:r>
        <w:rPr>
          <w:rFonts w:hint="default" w:ascii="Times New Roman" w:hAnsi="Times New Roman" w:eastAsia="仿宋_GB2312" w:cs="Times New Roman"/>
          <w:color w:val="auto"/>
          <w:kern w:val="2"/>
          <w:sz w:val="32"/>
          <w:szCs w:val="32"/>
          <w:lang w:val="en-US" w:eastAsia="zh-CN" w:bidi="ar-SA"/>
        </w:rPr>
        <w:t>法律、法规规定的应当注销的其他情形。</w:t>
      </w:r>
    </w:p>
    <w:p>
      <w:pPr>
        <w:pStyle w:val="3"/>
        <w:keepNext w:val="0"/>
        <w:keepLines w:val="0"/>
        <w:widowControl/>
        <w:suppressLineNumbers w:val="0"/>
        <w:spacing w:before="0" w:beforeAutospacing="0" w:after="0" w:afterAutospacing="0" w:line="21" w:lineRule="atLeast"/>
        <w:ind w:left="0" w:right="0"/>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（六）</w:t>
      </w:r>
      <w:r>
        <w:rPr>
          <w:rFonts w:hint="default" w:ascii="Times New Roman" w:hAnsi="Times New Roman" w:eastAsia="仿宋_GB2312" w:cs="Times New Roman"/>
          <w:color w:val="auto"/>
          <w:kern w:val="2"/>
          <w:sz w:val="32"/>
          <w:szCs w:val="32"/>
          <w:lang w:val="en-US" w:eastAsia="zh-CN" w:bidi="ar-SA"/>
        </w:rPr>
        <w:t>代理记账机构违反</w:t>
      </w:r>
      <w:r>
        <w:rPr>
          <w:rFonts w:hint="eastAsia" w:ascii="Times New Roman" w:hAnsi="Times New Roman" w:eastAsia="仿宋_GB2312" w:cs="Times New Roman"/>
          <w:color w:val="auto"/>
          <w:kern w:val="2"/>
          <w:sz w:val="32"/>
          <w:szCs w:val="32"/>
          <w:lang w:val="en-US" w:eastAsia="zh-CN" w:bidi="ar-SA"/>
        </w:rPr>
        <w:t>《代理记账管理办法》</w:t>
      </w:r>
      <w:r>
        <w:rPr>
          <w:rFonts w:hint="eastAsia" w:asci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中华人民共和国财政部令第98号</w:t>
      </w:r>
      <w:r>
        <w:rPr>
          <w:rFonts w:hint="eastAsia" w:ascii="Times New Roman" w:hAnsi="Times New Roman" w:eastAsia="仿宋_GB2312" w:cs="Times New Roman"/>
          <w:color w:val="auto"/>
          <w:kern w:val="2"/>
          <w:sz w:val="32"/>
          <w:szCs w:val="32"/>
          <w:lang w:val="en-US" w:eastAsia="zh-CN" w:bidi="ar-SA"/>
        </w:rPr>
        <w:t>）</w:t>
      </w:r>
      <w:r>
        <w:rPr>
          <w:rFonts w:hint="eastAsia" w:ascii="Times New Roman" w:eastAsia="仿宋_GB2312" w:cs="Times New Roman"/>
          <w:color w:val="auto"/>
          <w:kern w:val="2"/>
          <w:sz w:val="32"/>
          <w:szCs w:val="32"/>
          <w:lang w:val="en-US" w:eastAsia="zh-CN" w:bidi="ar-SA"/>
        </w:rPr>
        <w:t>令</w:t>
      </w:r>
      <w:r>
        <w:rPr>
          <w:rFonts w:hint="default" w:ascii="Times New Roman" w:hAnsi="Times New Roman" w:eastAsia="仿宋_GB2312" w:cs="Times New Roman"/>
          <w:color w:val="auto"/>
          <w:kern w:val="2"/>
          <w:sz w:val="32"/>
          <w:szCs w:val="32"/>
          <w:lang w:val="en-US" w:eastAsia="zh-CN" w:bidi="ar-SA"/>
        </w:rPr>
        <w:t>第七条、第八条、第九条、第十四条、第十六条规定，由县级以上人民政府财政部门责令其限期改正，拒不改正的，将代理记账机构及其负责人列入重点关注名单，并向社会公示，提醒其履行有关义务；情节严重的，由县级以上人民政府财政部门按照有关法律、法规给予行政处罚，并向社会公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（七）</w:t>
      </w:r>
      <w:r>
        <w:rPr>
          <w:rFonts w:hint="default" w:ascii="Times New Roman" w:hAnsi="Times New Roman" w:eastAsia="仿宋_GB2312" w:cs="Times New Roman"/>
          <w:color w:val="auto"/>
          <w:kern w:val="2"/>
          <w:sz w:val="32"/>
          <w:szCs w:val="32"/>
          <w:lang w:val="en-US" w:eastAsia="zh-CN" w:bidi="ar-SA"/>
        </w:rPr>
        <w:t>代理记账机构及其负责人、主管代理记账业务负责人及其从业人员违反规定出具虚假申请材料或者备案材料的，由县级以上人民政府财政部门给予警告，记入会计领域违法失信记录，根据有关规定实施联合惩戒，并向社会公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（八）</w:t>
      </w:r>
      <w:r>
        <w:rPr>
          <w:rFonts w:hint="default" w:ascii="Times New Roman" w:hAnsi="Times New Roman" w:eastAsia="仿宋_GB2312" w:cs="Times New Roman"/>
          <w:color w:val="auto"/>
          <w:kern w:val="2"/>
          <w:sz w:val="32"/>
          <w:szCs w:val="32"/>
          <w:lang w:val="en-US" w:eastAsia="zh-CN" w:bidi="ar-SA"/>
        </w:rPr>
        <w:t>代理记账机构从业人员在办理业务中违反会计法律、法规和国家统一的会计制度的规定，造成委托人会计核算混乱、损害国家和委托人利益的，由县级以上人民政府财政部门依据《中华人民共和国会计法》等有关法律、法规的规定处理。 代理记账机构有前款行为的，县级以上人民政府财政部门应当责令其限期改正，并给予警告；有违法所得的，可以处违法所得3倍以下罚款，但最高不得超过3万元；没有违法所得的，可以处1万元以下罚款。</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（九）</w:t>
      </w:r>
      <w:r>
        <w:rPr>
          <w:rFonts w:hint="default" w:ascii="Times New Roman" w:hAnsi="Times New Roman" w:eastAsia="仿宋_GB2312" w:cs="Times New Roman"/>
          <w:color w:val="auto"/>
          <w:kern w:val="2"/>
          <w:sz w:val="32"/>
          <w:szCs w:val="32"/>
          <w:lang w:val="en-US" w:eastAsia="zh-CN" w:bidi="ar-SA"/>
        </w:rPr>
        <w:t>未经批准从事代理记账业务的单位或者个人，由县级以上人民政府财政部门按照《中华人民共和国行政许可法》及有关规定予以查处。</w:t>
      </w:r>
    </w:p>
    <w:p>
      <w:pPr>
        <w:pStyle w:val="3"/>
        <w:keepNext w:val="0"/>
        <w:keepLines w:val="0"/>
        <w:widowControl/>
        <w:suppressLineNumbers w:val="0"/>
        <w:spacing w:before="0" w:beforeAutospacing="0" w:after="0" w:afterAutospacing="0" w:line="21" w:lineRule="atLeast"/>
        <w:ind w:right="0"/>
        <w:rPr>
          <w:sz w:val="21"/>
          <w:szCs w:val="21"/>
        </w:rPr>
      </w:pPr>
    </w:p>
    <w:p>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001EC"/>
    <w:rsid w:val="04F0384C"/>
    <w:rsid w:val="1E0F336D"/>
    <w:rsid w:val="262B61AC"/>
    <w:rsid w:val="39913A56"/>
    <w:rsid w:val="49F001EC"/>
    <w:rsid w:val="4ACF6178"/>
    <w:rsid w:val="4CCC6205"/>
    <w:rsid w:val="4CE93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color w:val="000000"/>
      <w:kern w:val="0"/>
      <w:sz w:val="24"/>
    </w:rPr>
  </w:style>
  <w:style w:type="character" w:styleId="6">
    <w:name w:val="FollowedHyperlink"/>
    <w:basedOn w:val="5"/>
    <w:uiPriority w:val="0"/>
    <w:rPr>
      <w:color w:val="515151"/>
      <w:u w:val="none"/>
    </w:rPr>
  </w:style>
  <w:style w:type="character" w:styleId="7">
    <w:name w:val="Emphasis"/>
    <w:basedOn w:val="5"/>
    <w:qFormat/>
    <w:uiPriority w:val="0"/>
  </w:style>
  <w:style w:type="character" w:styleId="8">
    <w:name w:val="Hyperlink"/>
    <w:basedOn w:val="5"/>
    <w:qFormat/>
    <w:uiPriority w:val="0"/>
    <w:rPr>
      <w:color w:val="51515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2021-10-18T04:02:00Z</dcterms:created>
  <dc:creator>Administrator</dc:creator>
  <cp:lastModifiedBy>Administrator</cp:lastModifiedBy>
  <dcterms:modified xsi:type="dcterms:W3CDTF">2021-10-28T00:59:32Z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6EDA2352C39648EEACD8F0B0A2B1B752</vt:lpwstr>
  </property>
</Properties>
</file>